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</w:pPr>
    </w:p>
    <w:p>
      <w:pPr>
        <w:pStyle w:val="Corps"/>
        <w:jc w:val="center"/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Informations et recommandations</w:t>
      </w:r>
    </w:p>
    <w:p>
      <w:pPr>
        <w:pStyle w:val="Corps"/>
        <w:jc w:val="center"/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destination des personnes int</w:t>
      </w:r>
      <w:r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:rtl w:val="0"/>
          <w14:textFill>
            <w14:solidFill>
              <w14:srgbClr w14:val="0070C0"/>
            </w14:solidFill>
          </w14:textFill>
        </w:rPr>
        <w:t>gr</w:t>
      </w:r>
      <w:r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 xml:space="preserve">es dans le </w:t>
      </w:r>
    </w:p>
    <w:p>
      <w:pPr>
        <w:pStyle w:val="Corps"/>
        <w:jc w:val="center"/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Corps"/>
        <w:jc w:val="center"/>
        <w:rPr>
          <w:rStyle w:val="Aucun"/>
          <w:b w:val="1"/>
          <w:bCs w:val="1"/>
          <w:outline w:val="0"/>
          <w:color w:val="0070c0"/>
          <w:sz w:val="36"/>
          <w:szCs w:val="36"/>
          <w:u w:color="0070c0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36"/>
          <w:szCs w:val="36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Dispositif COVID-Ambulatoire IUCT-O</w:t>
      </w:r>
    </w:p>
    <w:p>
      <w:pPr>
        <w:pStyle w:val="Corps"/>
        <w:jc w:val="center"/>
        <w:rPr>
          <w:rStyle w:val="Aucun"/>
          <w:sz w:val="32"/>
          <w:szCs w:val="32"/>
        </w:rPr>
      </w:pPr>
    </w:p>
    <w:p>
      <w:pPr>
        <w:pStyle w:val="Corps"/>
      </w:pPr>
    </w:p>
    <w:p>
      <w:pPr>
        <w:pStyle w:val="Corps"/>
        <w:spacing w:before="100" w:after="100"/>
      </w:pPr>
      <w:r>
        <w:rPr>
          <w:rStyle w:val="Aucun"/>
          <w:rtl w:val="0"/>
          <w:lang w:val="fr-FR"/>
        </w:rPr>
        <w:t>Madame, Monsieur,</w:t>
      </w:r>
    </w:p>
    <w:p>
      <w:pPr>
        <w:pStyle w:val="Corps"/>
        <w:spacing w:before="100" w:after="100"/>
      </w:pPr>
      <w:r>
        <w:rPr>
          <w:rStyle w:val="Aucun"/>
          <w:rtl w:val="0"/>
          <w:lang w:val="fr-FR"/>
        </w:rPr>
        <w:t xml:space="preserve">Vous avez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pris(e) en charge par le Dispositif COVID-Ambulatoire IUCT-O pour la surveillance d</w:t>
      </w:r>
      <w:r>
        <w:rPr>
          <w:rStyle w:val="Aucun"/>
          <w:rtl w:val="0"/>
        </w:rPr>
        <w:t>’</w:t>
      </w:r>
      <w:r>
        <w:rPr>
          <w:rStyle w:val="Aucun"/>
          <w:rtl w:val="0"/>
          <w:lang w:val="fr-FR"/>
        </w:rPr>
        <w:t>une suspicion d</w:t>
      </w:r>
      <w:r>
        <w:rPr>
          <w:rStyle w:val="Aucun"/>
          <w:rtl w:val="0"/>
        </w:rPr>
        <w:t>’</w:t>
      </w:r>
      <w:r>
        <w:rPr>
          <w:rStyle w:val="Aucun"/>
          <w:rtl w:val="0"/>
          <w:lang w:val="en-US"/>
        </w:rPr>
        <w:t xml:space="preserve">infection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it-IT"/>
        </w:rPr>
        <w:t>Coronavirus COVID 19, le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decin n'ayant pas retenu de crit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</w:rPr>
        <w:t>re 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cessitant une hospitalisation.</w:t>
      </w:r>
    </w:p>
    <w:p>
      <w:pPr>
        <w:pStyle w:val="Corps"/>
        <w:spacing w:before="100" w:after="240"/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Corps"/>
        <w:spacing w:before="100" w:after="240"/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Comment se transmet ce virus ?</w:t>
      </w:r>
    </w:p>
    <w:p>
      <w:pPr>
        <w:pStyle w:val="Corps"/>
        <w:spacing w:after="100"/>
      </w:pPr>
      <w:r>
        <w:rPr>
          <w:rStyle w:val="Aucun"/>
          <w:rtl w:val="0"/>
          <w:lang w:val="it-IT"/>
        </w:rPr>
        <w:t>D'apr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s les connaissances disponibles concernant le virus responsable de la maladie COVID-19, celui-ci se transmet par des gouttelettes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mises par un patient malade, en particulier lors de contacts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troits. Cette situation concerne par exemple :</w:t>
      </w:r>
    </w:p>
    <w:p>
      <w:pPr>
        <w:pStyle w:val="List Paragraph"/>
        <w:numPr>
          <w:ilvl w:val="0"/>
          <w:numId w:val="2"/>
        </w:numPr>
        <w:spacing w:before="120" w:after="240"/>
        <w:rPr>
          <w:lang w:val="fr-FR"/>
        </w:rPr>
      </w:pPr>
      <w:r>
        <w:rPr>
          <w:rStyle w:val="Aucun"/>
          <w:rtl w:val="0"/>
          <w:lang w:val="fr-FR"/>
        </w:rPr>
        <w:t>les personnes ayant partag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le m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 lieu de vie que le patient malade lorsque celui-ci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sentait des sympt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 xml:space="preserve">mes, </w:t>
      </w:r>
    </w:p>
    <w:p>
      <w:pPr>
        <w:pStyle w:val="List Paragraph"/>
        <w:numPr>
          <w:ilvl w:val="0"/>
          <w:numId w:val="2"/>
        </w:numPr>
        <w:spacing w:before="120" w:after="240"/>
        <w:rPr>
          <w:lang w:val="fr-FR"/>
        </w:rPr>
      </w:pPr>
      <w:r>
        <w:rPr>
          <w:rStyle w:val="Aucun"/>
          <w:rtl w:val="0"/>
          <w:lang w:val="fr-FR"/>
        </w:rPr>
        <w:t xml:space="preserve">des personnes ayant eu un contact direct, en face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face,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moins d'1 m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tre du patient malade au moment d'une toux, d'un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ternuement ou lors d'une discussion </w:t>
      </w:r>
    </w:p>
    <w:p>
      <w:pPr>
        <w:pStyle w:val="List Paragraph"/>
        <w:numPr>
          <w:ilvl w:val="0"/>
          <w:numId w:val="2"/>
        </w:numPr>
        <w:spacing w:before="120" w:after="240"/>
        <w:rPr>
          <w:lang w:val="fr-FR"/>
        </w:rPr>
      </w:pPr>
      <w:r>
        <w:rPr>
          <w:rStyle w:val="Aucun"/>
          <w:rtl w:val="0"/>
          <w:lang w:val="fr-FR"/>
        </w:rPr>
        <w:t xml:space="preserve">les flirts ; amis intimes ; </w:t>
      </w:r>
    </w:p>
    <w:p>
      <w:pPr>
        <w:pStyle w:val="List Paragraph"/>
        <w:numPr>
          <w:ilvl w:val="0"/>
          <w:numId w:val="2"/>
        </w:numPr>
        <w:spacing w:before="120" w:after="240"/>
        <w:rPr>
          <w:lang w:val="fr-FR"/>
        </w:rPr>
      </w:pPr>
      <w:r>
        <w:rPr>
          <w:rStyle w:val="Aucun"/>
          <w:rtl w:val="0"/>
          <w:lang w:val="fr-FR"/>
        </w:rPr>
        <w:t xml:space="preserve">les voisins de classe ou de bureau ; </w:t>
      </w:r>
    </w:p>
    <w:p>
      <w:pPr>
        <w:pStyle w:val="List Paragraph"/>
        <w:numPr>
          <w:ilvl w:val="0"/>
          <w:numId w:val="2"/>
        </w:numPr>
        <w:spacing w:before="120" w:after="240"/>
        <w:rPr>
          <w:lang w:val="fr-FR"/>
        </w:rPr>
      </w:pPr>
      <w:r>
        <w:rPr>
          <w:rStyle w:val="Aucun"/>
          <w:rtl w:val="0"/>
          <w:lang w:val="fr-FR"/>
        </w:rPr>
        <w:t>les voisins du cas index dans un avion ou un train, ou les personnes rest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dans un espace confin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avec le patient malade (voiture individuelle par exemple).</w:t>
      </w:r>
    </w:p>
    <w:p>
      <w:pPr>
        <w:pStyle w:val="Corps"/>
        <w:spacing w:before="100" w:after="360"/>
      </w:pPr>
      <w:r>
        <w:rPr>
          <w:rStyle w:val="Aucun"/>
          <w:rtl w:val="0"/>
          <w:lang w:val="fr-FR"/>
        </w:rPr>
        <w:t>Les sympt</w:t>
      </w:r>
      <w:r>
        <w:rPr>
          <w:rStyle w:val="Aucun"/>
          <w:rtl w:val="0"/>
        </w:rPr>
        <w:t>ô</w:t>
      </w:r>
      <w:r>
        <w:rPr>
          <w:rStyle w:val="Aucun"/>
          <w:rtl w:val="0"/>
          <w:lang w:val="fr-FR"/>
        </w:rPr>
        <w:t>mes peuvent apparaitre jusqu'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14 jours apr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ce contact, et se manifestent le plus souvent par de la fi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vre, accompagn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de toux. </w:t>
      </w:r>
    </w:p>
    <w:p>
      <w:pPr>
        <w:pStyle w:val="Corps"/>
        <w:spacing w:before="100" w:after="240"/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Corps"/>
        <w:spacing w:before="100" w:after="240"/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Pourquoi n'</w:t>
      </w:r>
      <w:r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ê</w:t>
      </w:r>
      <w:r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tes-vous pas hospitalis</w:t>
      </w:r>
      <w:r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:rtl w:val="0"/>
          <w14:textFill>
            <w14:solidFill>
              <w14:srgbClr w14:val="0070C0"/>
            </w14:solidFill>
          </w14:textFill>
        </w:rPr>
        <w:t>(e) ?</w:t>
      </w:r>
    </w:p>
    <w:p>
      <w:pPr>
        <w:pStyle w:val="Corps"/>
        <w:spacing w:after="100"/>
      </w:pPr>
      <w:r>
        <w:rPr>
          <w:rStyle w:val="Aucun"/>
          <w:rtl w:val="0"/>
          <w:lang w:val="fr-FR"/>
        </w:rPr>
        <w:t xml:space="preserve">L'infection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Coronavirus COVID 19 peut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peu symptomatique, mod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pt-PT"/>
        </w:rPr>
        <w:t>e, ou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v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 selon les cas. </w:t>
      </w:r>
    </w:p>
    <w:p>
      <w:pPr>
        <w:pStyle w:val="Corps"/>
        <w:spacing w:before="100" w:after="100"/>
      </w:pPr>
      <w:r>
        <w:rPr>
          <w:rStyle w:val="Aucun"/>
          <w:rtl w:val="0"/>
        </w:rPr>
        <w:t>L</w:t>
      </w:r>
      <w:r>
        <w:rPr>
          <w:rStyle w:val="Aucun"/>
          <w:rtl w:val="0"/>
        </w:rPr>
        <w:t>’</w:t>
      </w:r>
      <w:r>
        <w:rPr>
          <w:rStyle w:val="Aucun"/>
          <w:rtl w:val="0"/>
          <w:lang w:val="fr-FR"/>
        </w:rPr>
        <w:t>infirmi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ou le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decin du Dispositif COVID-Ambulatoire IUCT-O qui vous a interrog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s-ES_tradnl"/>
        </w:rPr>
        <w:t>(e) a jug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que vous pouviez rester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domicile sans prendre de risque pour votre sant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ou celle de votre entourage.</w:t>
      </w:r>
    </w:p>
    <w:p>
      <w:pPr>
        <w:pStyle w:val="List Paragraph"/>
        <w:numPr>
          <w:ilvl w:val="0"/>
          <w:numId w:val="2"/>
        </w:numPr>
        <w:spacing w:before="100" w:after="240"/>
        <w:rPr>
          <w:lang w:val="fr-FR"/>
        </w:rPr>
      </w:pPr>
      <w:r>
        <w:rPr>
          <w:rStyle w:val="Aucun"/>
          <w:rtl w:val="0"/>
          <w:lang w:val="fr-FR"/>
        </w:rPr>
        <w:t>Il vous a donn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les explications concernant le mode de transmission du virus et les mesures pour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viter de contaminer d'autres personnes, et vous les avez bien comprises. </w:t>
      </w:r>
    </w:p>
    <w:p>
      <w:pPr>
        <w:pStyle w:val="List Paragraph"/>
        <w:numPr>
          <w:ilvl w:val="0"/>
          <w:numId w:val="2"/>
        </w:numPr>
        <w:spacing w:before="100" w:after="240"/>
        <w:rPr>
          <w:lang w:val="fr-FR"/>
        </w:rPr>
      </w:pPr>
      <w:r>
        <w:rPr>
          <w:rStyle w:val="Aucun"/>
          <w:rtl w:val="0"/>
          <w:lang w:val="fr-FR"/>
        </w:rPr>
        <w:t>Vous ne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sentez pas de signe clinique ou de pathologie associ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actuellement justifiant une surveillance hospitali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re. </w:t>
      </w:r>
    </w:p>
    <w:p>
      <w:pPr>
        <w:pStyle w:val="List Paragraph"/>
        <w:numPr>
          <w:ilvl w:val="0"/>
          <w:numId w:val="2"/>
        </w:numPr>
        <w:spacing w:before="100" w:after="240"/>
        <w:rPr>
          <w:lang w:val="fr-FR"/>
        </w:rPr>
      </w:pPr>
      <w:r>
        <w:rPr>
          <w:rStyle w:val="Aucun"/>
          <w:rtl w:val="0"/>
          <w:lang w:val="fr-FR"/>
        </w:rPr>
        <w:t>Vous ne vivez pas en collectivit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et vous n'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tes pas en contact avec des personnes dont l'immunit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serait fragile (personnes </w:t>
      </w:r>
      <w:r>
        <w:rPr>
          <w:rStyle w:val="Aucun"/>
          <w:rtl w:val="0"/>
          <w:lang w:val="fr-FR"/>
        </w:rPr>
        <w:t>â</w:t>
      </w:r>
      <w:r>
        <w:rPr>
          <w:rStyle w:val="Aucun"/>
          <w:rtl w:val="0"/>
          <w:lang w:val="fr-FR"/>
        </w:rPr>
        <w:t>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de plus de 70 ans ou personnes avec pathologies associ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es). </w:t>
      </w:r>
    </w:p>
    <w:p>
      <w:pPr>
        <w:pStyle w:val="List Paragraph"/>
        <w:numPr>
          <w:ilvl w:val="0"/>
          <w:numId w:val="2"/>
        </w:numPr>
        <w:spacing w:before="100" w:after="240"/>
        <w:rPr>
          <w:lang w:val="fr-FR"/>
        </w:rPr>
      </w:pPr>
      <w:r>
        <w:rPr>
          <w:rStyle w:val="Aucun"/>
          <w:rtl w:val="0"/>
          <w:lang w:val="fr-FR"/>
        </w:rPr>
        <w:t>Vous avez la possibilit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de rester en confinement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votre domicile pendant 14 jours. </w:t>
      </w:r>
    </w:p>
    <w:p>
      <w:pPr>
        <w:pStyle w:val="List Paragraph"/>
        <w:numPr>
          <w:ilvl w:val="0"/>
          <w:numId w:val="2"/>
        </w:numPr>
        <w:spacing w:before="100" w:after="240"/>
        <w:rPr>
          <w:lang w:val="fr-FR"/>
        </w:rPr>
      </w:pPr>
      <w:r>
        <w:rPr>
          <w:rStyle w:val="Aucun"/>
          <w:rtl w:val="0"/>
          <w:lang w:val="fr-FR"/>
        </w:rPr>
        <w:t>Vous disposez d'un moyen fiable d'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contact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(e). </w:t>
      </w:r>
    </w:p>
    <w:p>
      <w:pPr>
        <w:pStyle w:val="Corps"/>
        <w:spacing w:before="100" w:after="360"/>
      </w:pPr>
      <w:r>
        <w:rPr>
          <w:rStyle w:val="Aucun"/>
          <w:rtl w:val="0"/>
          <w:lang w:val="fr-FR"/>
        </w:rPr>
        <w:t xml:space="preserve">L'infection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coronavirus peut rester 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nigne avec gu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rison spontan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e, comme un syndrome grippal. 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anmoins, une surveillance de votre situation clinique est 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cessaire pour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valuer si une aggravation clinique survenait, pouvant 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cessiter secondairement une hospitalisation.</w:t>
      </w:r>
    </w:p>
    <w:p>
      <w:pPr>
        <w:pStyle w:val="Corps"/>
        <w:spacing w:before="120" w:after="240"/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Corps"/>
        <w:spacing w:before="120" w:after="240"/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A votre domicile</w:t>
      </w:r>
    </w:p>
    <w:p>
      <w:pPr>
        <w:pStyle w:val="Corps"/>
        <w:spacing w:before="100" w:after="100"/>
      </w:pPr>
      <w:r>
        <w:rPr>
          <w:rStyle w:val="Aucun"/>
          <w:rtl w:val="0"/>
          <w:lang w:val="fr-FR"/>
        </w:rPr>
        <w:t>Une infirmi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</w:rPr>
        <w:t>re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viendra votre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decin traitant et votre infirmi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lib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rale, de la prise en charge qui vous a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propos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e.</w:t>
      </w:r>
    </w:p>
    <w:p>
      <w:pPr>
        <w:pStyle w:val="Corps"/>
        <w:spacing w:before="100" w:after="100"/>
      </w:pPr>
      <w:r>
        <w:rPr>
          <w:rStyle w:val="Aucun"/>
          <w:rtl w:val="0"/>
          <w:lang w:val="fr-FR"/>
        </w:rPr>
        <w:t>Une surveillance clinique sera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alis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par votre infirmi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lib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rale et votre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decin traitant. Une 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surveillance avec l</w:t>
      </w:r>
      <w:r>
        <w:rPr>
          <w:rStyle w:val="Aucun"/>
          <w:rtl w:val="0"/>
        </w:rPr>
        <w:t>’</w:t>
      </w:r>
      <w:r>
        <w:rPr>
          <w:rStyle w:val="Aucun"/>
          <w:rtl w:val="0"/>
          <w:lang w:val="fr-FR"/>
        </w:rPr>
        <w:t>infirmi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de l</w:t>
      </w:r>
      <w:r>
        <w:rPr>
          <w:rStyle w:val="Aucun"/>
          <w:rtl w:val="0"/>
        </w:rPr>
        <w:t>’</w:t>
      </w:r>
      <w:r>
        <w:rPr>
          <w:rStyle w:val="Aucun"/>
          <w:rtl w:val="0"/>
          <w:lang w:val="fr-FR"/>
        </w:rPr>
        <w:t>IUC sera mise en place. Son num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ro vous a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communiqu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lors de votre premier contact.</w:t>
      </w:r>
    </w:p>
    <w:p>
      <w:pPr>
        <w:pStyle w:val="Corps"/>
        <w:spacing w:before="100" w:after="100"/>
      </w:pPr>
      <w:r>
        <w:rPr>
          <w:rStyle w:val="Aucun"/>
          <w:rtl w:val="0"/>
          <w:lang w:val="it-IT"/>
        </w:rPr>
        <w:t>La dur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de surveillance 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cessaire est de 14 jours apr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le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but de vos sympt</w:t>
      </w:r>
      <w:r>
        <w:rPr>
          <w:rStyle w:val="Aucun"/>
          <w:rtl w:val="0"/>
        </w:rPr>
        <w:t>ô</w:t>
      </w:r>
      <w:r>
        <w:rPr>
          <w:rStyle w:val="Aucun"/>
          <w:rtl w:val="0"/>
          <w:lang w:val="it-IT"/>
        </w:rPr>
        <w:t>mes. Le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lai observ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 gu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rison et potentielle contagion est de 10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14 jours.</w:t>
      </w:r>
    </w:p>
    <w:p>
      <w:pPr>
        <w:pStyle w:val="Corps"/>
        <w:spacing w:before="100" w:after="100"/>
        <w:rPr>
          <w:rStyle w:val="Aucun"/>
          <w:u w:val="single"/>
        </w:rPr>
      </w:pPr>
      <w:r>
        <w:rPr>
          <w:rStyle w:val="Aucun"/>
          <w:u w:val="single"/>
          <w:rtl w:val="0"/>
          <w:lang w:val="fr-FR"/>
        </w:rPr>
        <w:t>Durant cette p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</w:rPr>
        <w:t>riode</w:t>
      </w:r>
      <w:r>
        <w:rPr>
          <w:rStyle w:val="Aucun"/>
          <w:rtl w:val="0"/>
          <w:lang w:val="fr-FR"/>
        </w:rPr>
        <w:t xml:space="preserve"> :</w:t>
      </w:r>
    </w:p>
    <w:p>
      <w:pPr>
        <w:pStyle w:val="List Paragraph"/>
        <w:numPr>
          <w:ilvl w:val="0"/>
          <w:numId w:val="2"/>
        </w:numPr>
        <w:spacing w:before="100" w:after="240"/>
        <w:rPr>
          <w:lang w:val="fr-FR"/>
        </w:rPr>
      </w:pPr>
      <w:r>
        <w:rPr>
          <w:rStyle w:val="Aucun"/>
          <w:rtl w:val="0"/>
          <w:lang w:val="fr-FR"/>
        </w:rPr>
        <w:t>Il est recommand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de rester en confinement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votre domicile pendant 14 jours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partir du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but des sympt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mes. Vous serez donc si 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cessaire en arr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 de travail.</w:t>
      </w:r>
    </w:p>
    <w:p>
      <w:pPr>
        <w:pStyle w:val="Corps"/>
        <w:spacing w:before="120" w:after="240"/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Vous devez prendre des pr</w:t>
      </w:r>
      <w:r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cautions renforc</w:t>
      </w:r>
      <w:r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 xml:space="preserve">es pour </w:t>
      </w:r>
      <w:r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70c0"/>
          <w:sz w:val="26"/>
          <w:szCs w:val="26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viter la transmission de cette infection :</w:t>
      </w:r>
    </w:p>
    <w:p>
      <w:pPr>
        <w:pStyle w:val="List Paragraph"/>
        <w:numPr>
          <w:ilvl w:val="0"/>
          <w:numId w:val="4"/>
        </w:numPr>
        <w:spacing w:before="100" w:after="100"/>
        <w:rPr>
          <w:lang w:val="fr-FR"/>
        </w:rPr>
      </w:pPr>
      <w:r>
        <w:rPr>
          <w:rStyle w:val="Aucun"/>
          <w:rtl w:val="0"/>
          <w:lang w:val="fr-FR"/>
        </w:rPr>
        <w:t>Restez chez vous, ne sortez pas de votre domicile, a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rez tr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guli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rement votre domicile.</w:t>
      </w:r>
    </w:p>
    <w:p>
      <w:pPr>
        <w:pStyle w:val="List Paragraph"/>
        <w:spacing w:before="120" w:after="120"/>
        <w:ind w:left="714" w:firstLine="0"/>
      </w:pPr>
    </w:p>
    <w:p>
      <w:pPr>
        <w:pStyle w:val="List Paragraph"/>
        <w:numPr>
          <w:ilvl w:val="0"/>
          <w:numId w:val="5"/>
        </w:numPr>
        <w:spacing w:before="120" w:after="120"/>
        <w:rPr>
          <w:lang w:val="fr-FR"/>
        </w:rPr>
      </w:pPr>
      <w:r>
        <w:rPr>
          <w:rStyle w:val="Aucun"/>
          <w:rtl w:val="0"/>
          <w:lang w:val="fr-FR"/>
        </w:rPr>
        <w:t>Lavez-vous les mains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guli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rement ou utilisez une solution hydro-alcoolique.</w:t>
      </w:r>
    </w:p>
    <w:p>
      <w:pPr>
        <w:pStyle w:val="List Paragraph"/>
        <w:spacing w:before="120" w:after="120"/>
        <w:ind w:left="714" w:firstLine="0"/>
      </w:pPr>
    </w:p>
    <w:p>
      <w:pPr>
        <w:pStyle w:val="List Paragraph"/>
        <w:numPr>
          <w:ilvl w:val="0"/>
          <w:numId w:val="4"/>
        </w:numPr>
        <w:spacing w:before="120" w:after="120"/>
        <w:rPr>
          <w:lang w:val="fr-FR"/>
        </w:rPr>
      </w:pPr>
      <w:r>
        <w:rPr>
          <w:rStyle w:val="Aucun"/>
          <w:rtl w:val="0"/>
          <w:lang w:val="fr-FR"/>
        </w:rPr>
        <w:t>Portez un masque chirurgical en cas de contact rapproch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avec une autre personne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votre domicile.</w:t>
      </w:r>
    </w:p>
    <w:p>
      <w:pPr>
        <w:pStyle w:val="List Paragraph"/>
        <w:spacing w:before="120" w:after="120"/>
      </w:pPr>
    </w:p>
    <w:p>
      <w:pPr>
        <w:pStyle w:val="List Paragraph"/>
        <w:numPr>
          <w:ilvl w:val="0"/>
          <w:numId w:val="4"/>
        </w:numPr>
        <w:spacing w:before="100" w:after="100"/>
        <w:rPr>
          <w:lang w:val="fr-FR"/>
        </w:rPr>
      </w:pPr>
      <w:r>
        <w:rPr>
          <w:rStyle w:val="Aucun"/>
          <w:rtl w:val="0"/>
          <w:lang w:val="fr-FR"/>
        </w:rPr>
        <w:t xml:space="preserve">Utilisez des mouchoirs jetables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usage unique,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jeter imm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diatement apr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usage, puis lavez-vous les mains apr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chaque mouchage.</w:t>
      </w:r>
    </w:p>
    <w:p>
      <w:pPr>
        <w:pStyle w:val="List Paragraph"/>
      </w:pPr>
    </w:p>
    <w:p>
      <w:pPr>
        <w:pStyle w:val="List Paragraph"/>
        <w:numPr>
          <w:ilvl w:val="0"/>
          <w:numId w:val="4"/>
        </w:numPr>
        <w:spacing w:before="100" w:after="100"/>
        <w:rPr>
          <w:lang w:val="fr-FR"/>
        </w:rPr>
      </w:pPr>
      <w:r>
        <w:rPr>
          <w:rStyle w:val="Aucun"/>
          <w:rtl w:val="0"/>
          <w:lang w:val="fr-FR"/>
        </w:rPr>
        <w:t>Dormez seul(e) dans une chambre si votre entourage n'est pas infect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.</w:t>
      </w:r>
    </w:p>
    <w:p>
      <w:pPr>
        <w:pStyle w:val="List Paragraph"/>
      </w:pPr>
    </w:p>
    <w:p>
      <w:pPr>
        <w:pStyle w:val="List Paragraph"/>
        <w:numPr>
          <w:ilvl w:val="0"/>
          <w:numId w:val="4"/>
        </w:numPr>
        <w:spacing w:before="100" w:after="100"/>
        <w:rPr>
          <w:lang w:val="fr-FR"/>
        </w:rPr>
      </w:pPr>
      <w:r>
        <w:rPr>
          <w:rStyle w:val="Aucun"/>
          <w:rtl w:val="0"/>
          <w:lang w:val="fr-FR"/>
        </w:rPr>
        <w:t>Nettoyez et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sinfectez les surfaces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guli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rement touch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smartphone, poign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 de portes, interrupteurs </w:t>
      </w:r>
      <w:r>
        <w:rPr>
          <w:rStyle w:val="Aucun"/>
          <w:rtl w:val="0"/>
          <w:lang w:val="fr-FR"/>
        </w:rPr>
        <w:t>…</w:t>
      </w:r>
    </w:p>
    <w:p>
      <w:pPr>
        <w:pStyle w:val="List Paragraph"/>
      </w:pPr>
    </w:p>
    <w:p>
      <w:pPr>
        <w:pStyle w:val="List Paragraph"/>
        <w:numPr>
          <w:ilvl w:val="0"/>
          <w:numId w:val="4"/>
        </w:numPr>
        <w:spacing w:before="100" w:after="100"/>
        <w:rPr>
          <w:lang w:val="fr-FR"/>
        </w:rPr>
      </w:pPr>
      <w:r>
        <w:rPr>
          <w:rStyle w:val="Aucun"/>
          <w:rtl w:val="0"/>
          <w:lang w:val="fr-FR"/>
        </w:rPr>
        <w:t xml:space="preserve">Veillez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une hygi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ne stricte des toilettes.</w:t>
      </w:r>
    </w:p>
    <w:p>
      <w:pPr>
        <w:pStyle w:val="List Paragraph"/>
      </w:pPr>
    </w:p>
    <w:p>
      <w:pPr>
        <w:pStyle w:val="List Paragraph"/>
        <w:numPr>
          <w:ilvl w:val="0"/>
          <w:numId w:val="4"/>
        </w:numPr>
        <w:spacing w:before="100" w:after="100"/>
        <w:rPr>
          <w:lang w:val="fr-FR"/>
        </w:rPr>
      </w:pPr>
      <w:r>
        <w:rPr>
          <w:rStyle w:val="Aucun"/>
          <w:rtl w:val="0"/>
          <w:lang w:val="fr-FR"/>
        </w:rPr>
        <w:t xml:space="preserve">Informez les personnes de votre entourage de votre infection pour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viter au maximum les visites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votre domicile, et conseillez-leur de consulter en cas de fi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vre avec signes respiratoires (toux, essoufflement).</w:t>
      </w:r>
    </w:p>
    <w:p>
      <w:pPr>
        <w:pStyle w:val="List Paragraph"/>
      </w:pPr>
    </w:p>
    <w:p>
      <w:pPr>
        <w:pStyle w:val="List Paragraph"/>
        <w:numPr>
          <w:ilvl w:val="0"/>
          <w:numId w:val="4"/>
        </w:numPr>
        <w:spacing w:before="100" w:after="100"/>
        <w:rPr>
          <w:lang w:val="fr-FR"/>
        </w:rPr>
      </w:pPr>
      <w:r>
        <w:rPr>
          <w:rStyle w:val="Aucun"/>
          <w:rtl w:val="0"/>
          <w:lang w:val="fr-FR"/>
        </w:rPr>
        <w:t xml:space="preserve">Ne rentrez pas en contact avec les personnes fragiles (femmes enceintes, malades chroniques, personnes </w:t>
      </w:r>
      <w:r>
        <w:rPr>
          <w:rStyle w:val="Aucun"/>
          <w:rtl w:val="0"/>
          <w:lang w:val="fr-FR"/>
        </w:rPr>
        <w:t>â</w:t>
      </w:r>
      <w:r>
        <w:rPr>
          <w:rStyle w:val="Aucun"/>
          <w:rtl w:val="0"/>
          <w:lang w:val="fr-FR"/>
        </w:rPr>
        <w:t>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</w:t>
      </w:r>
      <w:r>
        <w:rPr>
          <w:rStyle w:val="Aucun"/>
          <w:rtl w:val="0"/>
          <w:lang w:val="fr-FR"/>
        </w:rPr>
        <w:t>…</w:t>
      </w:r>
      <w:r>
        <w:rPr>
          <w:rStyle w:val="Aucun"/>
          <w:rtl w:val="0"/>
          <w:lang w:val="fr-FR"/>
        </w:rPr>
        <w:t>).</w:t>
      </w:r>
    </w:p>
    <w:p>
      <w:pPr>
        <w:pStyle w:val="List Paragraph"/>
      </w:pPr>
    </w:p>
    <w:p>
      <w:pPr>
        <w:pStyle w:val="List Paragraph"/>
        <w:numPr>
          <w:ilvl w:val="0"/>
          <w:numId w:val="4"/>
        </w:numPr>
        <w:spacing w:before="100" w:after="100"/>
        <w:rPr>
          <w:lang w:val="fr-FR"/>
        </w:rPr>
      </w:pPr>
      <w:r>
        <w:rPr>
          <w:rStyle w:val="Aucun"/>
          <w:rtl w:val="0"/>
          <w:lang w:val="fr-FR"/>
        </w:rPr>
        <w:t>Ne vous rendez pas chez votre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decin traitant ou autre lieu de soin de votre propre initiative.</w:t>
      </w:r>
    </w:p>
    <w:p>
      <w:pPr>
        <w:pStyle w:val="List Paragraph"/>
      </w:pPr>
    </w:p>
    <w:p>
      <w:pPr>
        <w:pStyle w:val="List Paragraph"/>
        <w:spacing w:before="100" w:after="100"/>
      </w:pPr>
    </w:p>
    <w:p>
      <w:pPr>
        <w:pStyle w:val="List Paragraph"/>
        <w:numPr>
          <w:ilvl w:val="0"/>
          <w:numId w:val="2"/>
        </w:numPr>
        <w:bidi w:val="0"/>
        <w:spacing w:before="100" w:after="240"/>
        <w:ind w:right="0"/>
        <w:jc w:val="both"/>
        <w:rPr>
          <w:rtl w:val="0"/>
          <w:lang w:val="fr-FR"/>
        </w:rPr>
      </w:pPr>
      <w:r>
        <w:rPr>
          <w:rStyle w:val="Aucun"/>
          <w:u w:val="single"/>
          <w:rtl w:val="0"/>
          <w:lang w:val="fr-FR"/>
        </w:rPr>
        <w:t>Que faire si vous vous sentez moins bien pendant la p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riode de suivi ?</w:t>
      </w:r>
    </w:p>
    <w:p>
      <w:pPr>
        <w:pStyle w:val="Corps"/>
        <w:spacing w:before="100" w:after="100"/>
      </w:pPr>
      <w:r>
        <w:rPr>
          <w:rStyle w:val="Aucun"/>
          <w:rtl w:val="0"/>
          <w:lang w:val="fr-FR"/>
        </w:rPr>
        <w:t>Pendant la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riode de suivi, en cas de difficult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respiratoire plus importante, il vous est demand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 contacter par 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phone votre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decin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raliste pour une nouvelle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valuation de votre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tat clinique.</w:t>
      </w:r>
    </w:p>
    <w:p>
      <w:pPr>
        <w:pStyle w:val="Corps"/>
        <w:spacing w:before="100"/>
      </w:pPr>
      <w:r>
        <w:rPr>
          <w:rStyle w:val="Aucun"/>
          <w:rtl w:val="0"/>
          <w:lang w:val="fr-FR"/>
        </w:rPr>
        <w:t>Si votre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decin n'est pas joignable, vous pouvez contacter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Corps"/>
        <w:ind w:firstLine="708"/>
      </w:pPr>
      <w:r>
        <w:rPr>
          <w:rStyle w:val="Aucun"/>
          <w:rtl w:val="0"/>
        </w:rPr>
        <w:t>- l</w:t>
      </w:r>
      <w:r>
        <w:rPr>
          <w:rStyle w:val="Aucun"/>
          <w:rtl w:val="0"/>
        </w:rPr>
        <w:t>’</w:t>
      </w:r>
      <w:r>
        <w:rPr>
          <w:rStyle w:val="Aucun"/>
          <w:rtl w:val="0"/>
          <w:lang w:val="fr-FR"/>
        </w:rPr>
        <w:t>infirmi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 du dispositif de 9h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</w:rPr>
        <w:t>18h</w:t>
      </w:r>
    </w:p>
    <w:p>
      <w:pPr>
        <w:pStyle w:val="Corps"/>
        <w:ind w:firstLine="708"/>
      </w:pPr>
      <w:r>
        <w:rPr>
          <w:rStyle w:val="Aucun"/>
          <w:rtl w:val="0"/>
          <w:lang w:val="fr-FR"/>
        </w:rPr>
        <w:t>- ou le 15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en dehors de ces horaires</w:t>
      </w:r>
    </w:p>
    <w:p>
      <w:pPr>
        <w:pStyle w:val="Corps"/>
        <w:spacing w:before="100" w:after="100"/>
      </w:pPr>
      <w:r>
        <w:rPr>
          <w:rStyle w:val="Aucun"/>
          <w:rtl w:val="0"/>
          <w:lang w:val="fr-FR"/>
        </w:rPr>
        <w:t>Ne vous rendez pas directement chez le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decin, ni aux urgences de l'h</w:t>
      </w:r>
      <w:r>
        <w:rPr>
          <w:rStyle w:val="Aucun"/>
          <w:rtl w:val="0"/>
        </w:rPr>
        <w:t>ô</w:t>
      </w:r>
      <w:r>
        <w:rPr>
          <w:rStyle w:val="Aucun"/>
          <w:rtl w:val="0"/>
          <w:lang w:val="fr-FR"/>
        </w:rPr>
        <w:t>pital. Si besoin, il vous sera demand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de venir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</w:rPr>
        <w:t>l'h</w:t>
      </w:r>
      <w:r>
        <w:rPr>
          <w:rStyle w:val="Aucun"/>
          <w:rtl w:val="0"/>
        </w:rPr>
        <w:t>ô</w:t>
      </w:r>
      <w:r>
        <w:rPr>
          <w:rStyle w:val="Aucun"/>
          <w:rtl w:val="0"/>
          <w:lang w:val="fr-FR"/>
        </w:rPr>
        <w:t>pital pour un examen. Une ambulance vous sera adress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au domicile si cela est jug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cessaire.</w:t>
      </w:r>
    </w:p>
    <w:p>
      <w:pPr>
        <w:pStyle w:val="Corps"/>
        <w:spacing w:before="100" w:after="100"/>
      </w:pPr>
      <w:r>
        <w:rPr>
          <w:rStyle w:val="Aucun"/>
          <w:rtl w:val="0"/>
          <w:lang w:val="fr-FR"/>
        </w:rPr>
        <w:t xml:space="preserve">La toux peut persister 2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3 semaines apr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le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but des sympt</w:t>
      </w:r>
      <w:r>
        <w:rPr>
          <w:rStyle w:val="Aucun"/>
          <w:rtl w:val="0"/>
        </w:rPr>
        <w:t>ô</w:t>
      </w:r>
      <w:r>
        <w:rPr>
          <w:rStyle w:val="Aucun"/>
          <w:rtl w:val="0"/>
          <w:lang w:val="fr-FR"/>
        </w:rPr>
        <w:t>mes sans que cela soit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occupant si vous n'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tes pas essouffl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(e).</w:t>
      </w:r>
    </w:p>
    <w:p>
      <w:pPr>
        <w:pStyle w:val="Corps"/>
        <w:spacing w:before="100" w:after="100"/>
      </w:pPr>
      <w:r>
        <w:rPr>
          <w:rStyle w:val="Aucun"/>
          <w:rtl w:val="0"/>
          <w:lang w:val="fr-FR"/>
        </w:rPr>
        <w:t>Nous vous remercions de votre attention.</w:t>
      </w:r>
    </w:p>
    <w:p>
      <w:pPr>
        <w:pStyle w:val="Corps"/>
        <w:spacing w:before="100" w:after="100"/>
      </w:pPr>
    </w:p>
    <w:p>
      <w:pPr>
        <w:pStyle w:val="Corps"/>
      </w:pPr>
      <w:r>
        <w:rPr>
          <w:rStyle w:val="Aucun"/>
          <w:rFonts w:cs="Arial Unicode MS" w:eastAsia="Arial Unicode MS"/>
          <w:rtl w:val="0"/>
          <w:lang w:val="it-IT"/>
        </w:rPr>
        <w:t>Dr Delavigne</w:t>
      </w:r>
    </w:p>
    <w:p>
      <w:pPr>
        <w:pStyle w:val="Corps"/>
      </w:pPr>
      <w:r>
        <w:rPr>
          <w:rStyle w:val="Aucun"/>
          <w:rFonts w:cs="Arial Unicode MS" w:eastAsia="Arial Unicode MS"/>
          <w:rtl w:val="0"/>
        </w:rPr>
        <w:t>M</w:t>
      </w:r>
      <w:r>
        <w:rPr>
          <w:rStyle w:val="Aucun"/>
          <w:rFonts w:cs="Arial Unicode MS" w:eastAsia="Arial Unicode MS" w:hint="default"/>
          <w:rtl w:val="0"/>
          <w:lang w:val="fr-FR"/>
        </w:rPr>
        <w:t>é</w:t>
      </w:r>
      <w:r>
        <w:rPr>
          <w:rStyle w:val="Aucun"/>
          <w:rFonts w:cs="Arial Unicode MS" w:eastAsia="Arial Unicode MS"/>
          <w:rtl w:val="0"/>
          <w:lang w:val="it-IT"/>
        </w:rPr>
        <w:t>decin r</w:t>
      </w:r>
      <w:r>
        <w:rPr>
          <w:rStyle w:val="Aucun"/>
          <w:rFonts w:cs="Arial Unicode MS" w:eastAsia="Arial Unicode MS" w:hint="default"/>
          <w:rtl w:val="0"/>
          <w:lang w:val="fr-FR"/>
        </w:rPr>
        <w:t>é</w:t>
      </w:r>
      <w:r>
        <w:rPr>
          <w:rStyle w:val="Aucun"/>
          <w:rFonts w:cs="Arial Unicode MS" w:eastAsia="Arial Unicode MS"/>
          <w:rtl w:val="0"/>
        </w:rPr>
        <w:t>f</w:t>
      </w:r>
      <w:r>
        <w:rPr>
          <w:rStyle w:val="Aucun"/>
          <w:rFonts w:cs="Arial Unicode MS" w:eastAsia="Arial Unicode MS" w:hint="default"/>
          <w:rtl w:val="0"/>
          <w:lang w:val="fr-FR"/>
        </w:rPr>
        <w:t>é</w:t>
      </w:r>
      <w:r>
        <w:rPr>
          <w:rStyle w:val="Aucun"/>
          <w:rFonts w:cs="Arial Unicode MS" w:eastAsia="Arial Unicode MS"/>
          <w:rtl w:val="0"/>
          <w:lang w:val="fr-FR"/>
        </w:rPr>
        <w:t>rent anti-infectieux IUCT-O</w:t>
      </w:r>
    </w:p>
    <w:p>
      <w:pPr>
        <w:pStyle w:val="Corps"/>
        <w:spacing w:before="100" w:after="10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right"/>
    </w:pP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  <w:r>
      <w:rPr>
        <w:rStyle w:val="Aucun"/>
        <w:rtl w:val="0"/>
        <w:lang w:val="fr-FR"/>
      </w:rPr>
      <w:t>/3</w:t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rPr>
        <w:rStyle w:val="Aucun"/>
      </w:rPr>
      <w:drawing>
        <wp:inline distT="0" distB="0" distL="0" distR="0">
          <wp:extent cx="2481580" cy="676275"/>
          <wp:effectExtent l="0" t="0" r="0" b="0"/>
          <wp:docPr id="1073741825" name="officeArt object" descr="IUC Oncopole sma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UC Oncopole small" descr="IUC Oncopole small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580" cy="676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·"/>
      <w:lvlJc w:val="left"/>
      <w:pPr>
        <w:ind w:left="425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45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65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85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05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25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745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65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85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✓"/>
        <w:lvlJc w:val="left"/>
        <w:pPr>
          <w:ind w:left="71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34" w:hanging="357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5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7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94" w:hanging="357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1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3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54" w:hanging="357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7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